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E6A0" w14:textId="77777777" w:rsidR="003D73B3" w:rsidRPr="003D73B3" w:rsidRDefault="003D73B3" w:rsidP="003D73B3">
      <w:pPr>
        <w:jc w:val="center"/>
        <w:rPr>
          <w:rFonts w:ascii="Times New Roman" w:eastAsia="Times New Roman" w:hAnsi="Times New Roman" w:cs="Times New Roman"/>
          <w:b/>
          <w:bCs/>
          <w:kern w:val="0"/>
          <w:sz w:val="24"/>
          <w:szCs w:val="24"/>
          <w:lang w:eastAsia="tr-TR"/>
          <w14:ligatures w14:val="none"/>
        </w:rPr>
      </w:pPr>
      <w:r w:rsidRPr="003D73B3">
        <w:rPr>
          <w:rFonts w:ascii="Times New Roman" w:eastAsia="Times New Roman" w:hAnsi="Times New Roman" w:cs="Times New Roman"/>
          <w:b/>
          <w:bCs/>
          <w:kern w:val="0"/>
          <w:sz w:val="24"/>
          <w:szCs w:val="24"/>
          <w:lang w:eastAsia="tr-TR"/>
          <w14:ligatures w14:val="none"/>
        </w:rPr>
        <w:t>İSTİNYE ÜNİVERSİTESİ</w:t>
      </w:r>
    </w:p>
    <w:p w14:paraId="2E356111" w14:textId="77777777" w:rsidR="003D73B3" w:rsidRPr="003D73B3" w:rsidRDefault="003D73B3" w:rsidP="003D73B3">
      <w:pPr>
        <w:jc w:val="center"/>
        <w:rPr>
          <w:rFonts w:ascii="Times New Roman" w:eastAsia="Times New Roman" w:hAnsi="Times New Roman" w:cs="Times New Roman"/>
          <w:b/>
          <w:bCs/>
          <w:kern w:val="0"/>
          <w:sz w:val="24"/>
          <w:szCs w:val="24"/>
          <w:lang w:eastAsia="tr-TR"/>
          <w14:ligatures w14:val="none"/>
        </w:rPr>
      </w:pPr>
      <w:r w:rsidRPr="003D73B3">
        <w:rPr>
          <w:rFonts w:ascii="Times New Roman" w:eastAsia="Times New Roman" w:hAnsi="Times New Roman" w:cs="Times New Roman"/>
          <w:b/>
          <w:bCs/>
          <w:kern w:val="0"/>
          <w:sz w:val="24"/>
          <w:szCs w:val="24"/>
          <w:lang w:eastAsia="tr-TR"/>
          <w14:ligatures w14:val="none"/>
        </w:rPr>
        <w:t>7592 SAYILI KANUN İLE 2547 SAYILI KANUN’A EKLENEN</w:t>
      </w:r>
    </w:p>
    <w:p w14:paraId="50D993F4" w14:textId="77777777" w:rsidR="003D73B3" w:rsidRDefault="003D73B3" w:rsidP="003D73B3">
      <w:pPr>
        <w:jc w:val="center"/>
        <w:rPr>
          <w:rFonts w:ascii="Times New Roman" w:eastAsia="Times New Roman" w:hAnsi="Times New Roman" w:cs="Times New Roman"/>
          <w:b/>
          <w:bCs/>
          <w:kern w:val="0"/>
          <w:sz w:val="24"/>
          <w:szCs w:val="24"/>
          <w:lang w:eastAsia="tr-TR"/>
          <w14:ligatures w14:val="none"/>
        </w:rPr>
      </w:pPr>
      <w:r w:rsidRPr="003D73B3">
        <w:rPr>
          <w:rFonts w:ascii="Times New Roman" w:eastAsia="Times New Roman" w:hAnsi="Times New Roman" w:cs="Times New Roman"/>
          <w:b/>
          <w:bCs/>
          <w:kern w:val="0"/>
          <w:sz w:val="24"/>
          <w:szCs w:val="24"/>
          <w:lang w:eastAsia="tr-TR"/>
          <w14:ligatures w14:val="none"/>
        </w:rPr>
        <w:t>GEÇİCİ MADDE 85’İN UYGULAMA ESASLARI</w:t>
      </w:r>
    </w:p>
    <w:p w14:paraId="372D8468" w14:textId="77777777" w:rsidR="003D73B3" w:rsidRDefault="003D73B3" w:rsidP="003D73B3">
      <w:pPr>
        <w:rPr>
          <w:rFonts w:ascii="Times New Roman" w:eastAsia="Times New Roman" w:hAnsi="Times New Roman" w:cs="Times New Roman"/>
          <w:b/>
          <w:bCs/>
          <w:kern w:val="0"/>
          <w:sz w:val="24"/>
          <w:szCs w:val="24"/>
          <w:lang w:eastAsia="tr-TR"/>
          <w14:ligatures w14:val="none"/>
        </w:rPr>
      </w:pPr>
    </w:p>
    <w:p w14:paraId="10454742" w14:textId="323F0014"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1. 9 Aralık 2026 tarihinden önce ilişiği kesilen ve 9 Ağustos 2026 tarihinden itibaren en geç 4 ay içinde (son başvuru tarihi: 9 Aralık 2026) Üniversitemize başvuran ve gerekli şartları karşılayan öğrencilerimiz; ilgili kanun hükümleri, YÖK Uygulama İlkeleri ve 7592 Sayılı Yükseköğretim Kanunu ve Bazı Kanunlarda Değişiklik Yapılmasına Dair Kanun Kapsamında hazırlanan “İstinye Üniversitesi 7592 Sayılı Kanun ile 2547 Sayılı Kanun’a Eklenen Geçici Madde 85’in Uygulama Esasları” çerçevesinde 2026-2027 Akademik Yılında öğrenime başlayabilecektir.</w:t>
      </w:r>
    </w:p>
    <w:p w14:paraId="341C3054" w14:textId="3E1E4DE6"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2. Üniversitemiz akademik takvimi göz önünde bulundurularak, Lisans/Ön Lisans/Lisansüstü programları için; 25 Eylül 2026 tarihi mesai bitimine kadar başvuru yapan ve kayıt hakkı kazanarak, 2 Ekim 2026 tarihine kadar kayıt işlemlerini gerçekleştiren öğrenciler 2026-2027 Akademik Yılı Güz Dönemi itibarıyla eğitimlerine başlayacaktır. 2 Ekim 2026 tarihinden sonra kayıt işlemlerini gerçekleştiren öğrenciler ise güz dönemi için kayıtlarını dondurarak, 2026-2027 Akademik Yılı Bahar Dönemi itibarıyla öğrenimlerine başlayabileceklerdir.</w:t>
      </w:r>
    </w:p>
    <w:p w14:paraId="40A43619" w14:textId="17972625"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3. 26 Eylül 2026 – 9 Aralık 2026 tarihleri arasında başvuru yapan, kayıt hakkı kazanan ve kayıt işlemlerini gerçekleştiren öğrenciler ise güz dönemi için kayıtlarını dondurarak, 2026-2027 Akademik Yılı Bahar Dönemi itibarıyla öğrenimlerine başlayabileceklerdir.</w:t>
      </w:r>
    </w:p>
    <w:p w14:paraId="2BDEE111" w14:textId="1D495ED6"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4. 2547 sayılı Yükseköğretim Kanunu’nun Geçici 85’inci maddesinden yararlanarak ayrıldığı yükseköğretim kurumunun Ön Lisans/Lisans programlarına kayıt yaptıranlardan, ÖSYS/YKS puanı giriş yılı itibarıyla aynı veya farklı bir diploma programının aynı türden taban puanına sahip olanlar yatay geçiş yapabilecektir.</w:t>
      </w:r>
    </w:p>
    <w:p w14:paraId="11FCCF22" w14:textId="6F601DEC"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5. Lisansüstü programlardan ilişiği kesilen öğrencilerden ilişiğinin kesildiği yükseköğretim kurumuna başvurarak öğrencilik hakkı kazananlar, “Lisansüstü Eğitim ve Öğretim Yönetmeliği’nin öngördüğü şartlar çerçevesinde yatay geçiş yapabilecektir. </w:t>
      </w:r>
    </w:p>
    <w:p w14:paraId="4C39041D" w14:textId="2FFE0A26"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6. Bu kapsamda, Üniversitemiz ön lisans, lisans ve lisansüstü programlarına yatay geçiş başvurularının mücbir veya sağlık sebebi hariç 9 Aralık 2026 tarihine kadar Öğrenci İşleri Daire Başkanlığına yapılacak; başvurular, ilgili Bölüm/Ana Bilim Dalı Başkanlığı tarafından değerlendirilecek ve Fakülte, Meslek Yüksek Okulu veya Enstitü Yönetim Kurulunda görüşülerek karara bağlanacaktır.</w:t>
      </w:r>
    </w:p>
    <w:p w14:paraId="6DD15C44" w14:textId="02D9C238"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7. 7592 Sayılı Kanun ile 2547 Sayılı Kanun'a Eklenen Geçici Madde 85’in Uygulama İlkelerinin 7 inci maddesi c bendinde belirtilen “Yan dal programının sertifika programı olduğu dikkate alınarak konunun ilgili yükseköğretim kurumu tarafından değerlendirilebileceğine” hükmü uyarınca yan dal programından ilişiği kesilen öğrencilere başvuru hakkı tanınmayacaktır.</w:t>
      </w:r>
    </w:p>
    <w:p w14:paraId="4D633792" w14:textId="50DAC954"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8. İlgili öğrencilerin öğrenim süreleri ile burs ve indirim süreleri, intibak ettirildikleri sınıf dikkate alınarak hesaplanacaktır.</w:t>
      </w:r>
    </w:p>
    <w:p w14:paraId="7257A82A" w14:textId="77777777"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lastRenderedPageBreak/>
        <w:t>9. Kanun hükümlerinden yararlanarak öğrenime başlayabilmek için başvuruda bulunmak yeterli olmayıp, kayıt tarihlerinde kayıt işleminin gerçekleştirilmesi gerekmektedir.</w:t>
      </w:r>
    </w:p>
    <w:p w14:paraId="27DB4214" w14:textId="77777777"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10. Başvurusu kabul edilerek kayıtlanan öğrenciler yürürlükteki eğitim-öğretim yönetmeliği ve mevzuata tabi olacaklardır.</w:t>
      </w:r>
    </w:p>
    <w:p w14:paraId="2182C59F" w14:textId="77777777"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11. Kayıt hakkı kazananların yerleştirildikleri programlarda zorunlu yabancı dil hazırlık eğitimi bulunması halinde, kayıt tarihinden sonra belirlenecek tarihte yabancı dil yeterlik sınavına alınacaklardır.</w:t>
      </w:r>
    </w:p>
    <w:p w14:paraId="30E41BC3" w14:textId="77777777"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12. Başvuru/kayıt sırasında son bir ay içinde alınmış sabıka/adli sicil kaydı teslim edilecek ve QR kodu üzerinden kontrol sağlanacaktır.</w:t>
      </w:r>
    </w:p>
    <w:p w14:paraId="3A09C7C1" w14:textId="77777777" w:rsidR="003D73B3" w:rsidRPr="003D73B3" w:rsidRDefault="003D73B3" w:rsidP="003D73B3">
      <w:pPr>
        <w:jc w:val="both"/>
        <w:rPr>
          <w:rFonts w:ascii="Times New Roman" w:eastAsia="Times New Roman" w:hAnsi="Times New Roman" w:cs="Times New Roman"/>
          <w:kern w:val="0"/>
          <w:sz w:val="24"/>
          <w:szCs w:val="24"/>
          <w:lang w:eastAsia="tr-TR"/>
          <w14:ligatures w14:val="none"/>
        </w:rPr>
      </w:pPr>
      <w:r w:rsidRPr="003D73B3">
        <w:rPr>
          <w:rFonts w:ascii="Times New Roman" w:eastAsia="Times New Roman" w:hAnsi="Times New Roman" w:cs="Times New Roman"/>
          <w:kern w:val="0"/>
          <w:sz w:val="24"/>
          <w:szCs w:val="24"/>
          <w:lang w:eastAsia="tr-TR"/>
          <w14:ligatures w14:val="none"/>
        </w:rPr>
        <w:t>13. Bu Uygulama Esaslarında hüküm bulunmayan durumlar için Yüksek Öğretim Kurumu tarafından yayınlanan “7592 Sayılı Kanun ile 2547 Sayılı Kanun’a Eklenen Geçici Madde 85 Uygulama İlkeleri” esas alınacaktır.</w:t>
      </w:r>
    </w:p>
    <w:p w14:paraId="1776CD2D" w14:textId="77777777" w:rsidR="003D73B3" w:rsidRPr="003D73B3" w:rsidRDefault="003D73B3" w:rsidP="003D73B3">
      <w:pPr>
        <w:rPr>
          <w:rFonts w:ascii="Times New Roman" w:eastAsia="Times New Roman" w:hAnsi="Times New Roman" w:cs="Times New Roman"/>
          <w:b/>
          <w:bCs/>
          <w:kern w:val="0"/>
          <w:sz w:val="24"/>
          <w:szCs w:val="24"/>
          <w:lang w:eastAsia="tr-TR"/>
          <w14:ligatures w14:val="none"/>
        </w:rPr>
      </w:pPr>
    </w:p>
    <w:p w14:paraId="460DDC1F" w14:textId="77777777" w:rsidR="003D73B3" w:rsidRPr="003D73B3" w:rsidRDefault="003D73B3" w:rsidP="003D73B3">
      <w:pPr>
        <w:rPr>
          <w:rFonts w:ascii="Times New Roman" w:eastAsia="Times New Roman" w:hAnsi="Times New Roman" w:cs="Times New Roman"/>
          <w:b/>
          <w:bCs/>
          <w:kern w:val="0"/>
          <w:sz w:val="24"/>
          <w:szCs w:val="24"/>
          <w:lang w:eastAsia="tr-TR"/>
          <w14:ligatures w14:val="none"/>
        </w:rPr>
      </w:pPr>
      <w:r w:rsidRPr="003D73B3">
        <w:rPr>
          <w:rFonts w:ascii="Times New Roman" w:eastAsia="Times New Roman" w:hAnsi="Times New Roman" w:cs="Times New Roman"/>
          <w:b/>
          <w:bCs/>
          <w:kern w:val="0"/>
          <w:sz w:val="24"/>
          <w:szCs w:val="24"/>
          <w:lang w:eastAsia="tr-TR"/>
          <w14:ligatures w14:val="none"/>
        </w:rPr>
        <w:t> </w:t>
      </w:r>
    </w:p>
    <w:p w14:paraId="5D041E8A" w14:textId="77777777" w:rsidR="00402423" w:rsidRDefault="00402423"/>
    <w:sectPr w:rsidR="00402423" w:rsidSect="00EE2F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63"/>
    <w:rsid w:val="00057942"/>
    <w:rsid w:val="00146463"/>
    <w:rsid w:val="001A236A"/>
    <w:rsid w:val="003D73B3"/>
    <w:rsid w:val="00402423"/>
    <w:rsid w:val="0045356D"/>
    <w:rsid w:val="00470713"/>
    <w:rsid w:val="00775116"/>
    <w:rsid w:val="008A545A"/>
    <w:rsid w:val="00C625FE"/>
    <w:rsid w:val="00E517C2"/>
    <w:rsid w:val="00EE2F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57512"/>
  <w15:chartTrackingRefBased/>
  <w15:docId w15:val="{C2635609-30AE-48CD-95FC-3C0439FC0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FFD"/>
  </w:style>
  <w:style w:type="paragraph" w:styleId="Balk1">
    <w:name w:val="heading 1"/>
    <w:basedOn w:val="Normal"/>
    <w:next w:val="Normal"/>
    <w:link w:val="Balk1Char"/>
    <w:uiPriority w:val="9"/>
    <w:qFormat/>
    <w:rsid w:val="00146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46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464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464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464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464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464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464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464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464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464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464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464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464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464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464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464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46463"/>
    <w:rPr>
      <w:rFonts w:eastAsiaTheme="majorEastAsia" w:cstheme="majorBidi"/>
      <w:color w:val="272727" w:themeColor="text1" w:themeTint="D8"/>
    </w:rPr>
  </w:style>
  <w:style w:type="paragraph" w:styleId="KonuBal">
    <w:name w:val="Title"/>
    <w:basedOn w:val="Normal"/>
    <w:next w:val="Normal"/>
    <w:link w:val="KonuBalChar"/>
    <w:uiPriority w:val="10"/>
    <w:qFormat/>
    <w:rsid w:val="00146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464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464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464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464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46463"/>
    <w:rPr>
      <w:i/>
      <w:iCs/>
      <w:color w:val="404040" w:themeColor="text1" w:themeTint="BF"/>
    </w:rPr>
  </w:style>
  <w:style w:type="paragraph" w:styleId="ListeParagraf">
    <w:name w:val="List Paragraph"/>
    <w:basedOn w:val="Normal"/>
    <w:uiPriority w:val="34"/>
    <w:qFormat/>
    <w:rsid w:val="00146463"/>
    <w:pPr>
      <w:ind w:left="720"/>
      <w:contextualSpacing/>
    </w:pPr>
  </w:style>
  <w:style w:type="character" w:styleId="GlVurgulama">
    <w:name w:val="Intense Emphasis"/>
    <w:basedOn w:val="VarsaylanParagrafYazTipi"/>
    <w:uiPriority w:val="21"/>
    <w:qFormat/>
    <w:rsid w:val="00146463"/>
    <w:rPr>
      <w:i/>
      <w:iCs/>
      <w:color w:val="0F4761" w:themeColor="accent1" w:themeShade="BF"/>
    </w:rPr>
  </w:style>
  <w:style w:type="paragraph" w:styleId="GlAlnt">
    <w:name w:val="Intense Quote"/>
    <w:basedOn w:val="Normal"/>
    <w:next w:val="Normal"/>
    <w:link w:val="GlAlntChar"/>
    <w:uiPriority w:val="30"/>
    <w:qFormat/>
    <w:rsid w:val="00146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46463"/>
    <w:rPr>
      <w:i/>
      <w:iCs/>
      <w:color w:val="0F4761" w:themeColor="accent1" w:themeShade="BF"/>
    </w:rPr>
  </w:style>
  <w:style w:type="character" w:styleId="GlBavuru">
    <w:name w:val="Intense Reference"/>
    <w:basedOn w:val="VarsaylanParagrafYazTipi"/>
    <w:uiPriority w:val="32"/>
    <w:qFormat/>
    <w:rsid w:val="00146463"/>
    <w:rPr>
      <w:b/>
      <w:bCs/>
      <w:smallCaps/>
      <w:color w:val="0F4761" w:themeColor="accent1" w:themeShade="BF"/>
      <w:spacing w:val="5"/>
    </w:rPr>
  </w:style>
  <w:style w:type="character" w:styleId="Gl">
    <w:name w:val="Strong"/>
    <w:basedOn w:val="VarsaylanParagrafYazTipi"/>
    <w:uiPriority w:val="22"/>
    <w:qFormat/>
    <w:rsid w:val="00EE2F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Safiye Alev BOZKUŞ, ISU</dc:creator>
  <cp:keywords/>
  <dc:description/>
  <cp:lastModifiedBy>Naime DOĞAN, ISU</cp:lastModifiedBy>
  <cp:revision>4</cp:revision>
  <dcterms:created xsi:type="dcterms:W3CDTF">2026-08-31T06:59:00Z</dcterms:created>
  <dcterms:modified xsi:type="dcterms:W3CDTF">2026-09-30T12:54:00Z</dcterms:modified>
</cp:coreProperties>
</file>